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9A" w:rsidRDefault="00F87236">
      <w:pPr>
        <w:rPr>
          <w:rFonts w:ascii="Nimbus Roman" w:eastAsia="黑体" w:hAnsi="Nimbus Roman" w:cs="Nimbus Roman"/>
          <w:color w:val="000000"/>
          <w:kern w:val="0"/>
          <w:sz w:val="32"/>
          <w:szCs w:val="32"/>
          <w:lang w:bidi="ar"/>
        </w:rPr>
      </w:pPr>
      <w:r>
        <w:rPr>
          <w:rFonts w:ascii="Nimbus Roman" w:eastAsia="黑体" w:hAnsi="Nimbus Roman" w:cs="Nimbus Roman"/>
          <w:color w:val="000000"/>
          <w:kern w:val="0"/>
          <w:sz w:val="32"/>
          <w:szCs w:val="32"/>
          <w:lang w:bidi="ar"/>
        </w:rPr>
        <w:t>附</w:t>
      </w:r>
      <w:r>
        <w:rPr>
          <w:rFonts w:ascii="Nimbus Roman" w:eastAsia="黑体" w:hAnsi="Nimbus Roman" w:cs="Nimbus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Nimbus Roman" w:eastAsia="黑体" w:hAnsi="Nimbus Roman" w:cs="Nimbus Roman"/>
          <w:color w:val="000000"/>
          <w:kern w:val="0"/>
          <w:sz w:val="32"/>
          <w:szCs w:val="32"/>
          <w:lang w:bidi="ar"/>
        </w:rPr>
        <w:t>件</w:t>
      </w:r>
    </w:p>
    <w:p w:rsidR="003F039A" w:rsidRDefault="00F87236">
      <w:pPr>
        <w:jc w:val="center"/>
        <w:rPr>
          <w:rFonts w:ascii="Nimbus Roman" w:eastAsia="仿宋_GB2312" w:hAnsi="Nimbus Roman" w:cs="Nimbus Roman"/>
          <w:sz w:val="32"/>
          <w:szCs w:val="32"/>
        </w:rPr>
      </w:pPr>
      <w:bookmarkStart w:id="0" w:name="_GoBack"/>
      <w:r>
        <w:rPr>
          <w:rFonts w:ascii="Nimbus Roman" w:eastAsia="方正小标宋简体" w:hAnsi="Nimbus Roman" w:cs="Nimbus Roman"/>
          <w:color w:val="000000"/>
          <w:kern w:val="0"/>
          <w:sz w:val="44"/>
          <w:szCs w:val="44"/>
          <w:lang w:bidi="ar"/>
        </w:rPr>
        <w:t>河南省智能建造</w:t>
      </w:r>
      <w:r>
        <w:rPr>
          <w:rFonts w:ascii="Nimbus Roman" w:eastAsia="方正小标宋简体" w:hAnsi="Nimbus Roman" w:cs="Nimbus Roman"/>
          <w:color w:val="000000"/>
          <w:kern w:val="0"/>
          <w:sz w:val="44"/>
          <w:szCs w:val="44"/>
          <w:lang w:bidi="ar"/>
        </w:rPr>
        <w:t>典型案例</w:t>
      </w:r>
      <w:bookmarkEnd w:id="0"/>
    </w:p>
    <w:tbl>
      <w:tblPr>
        <w:tblW w:w="12953" w:type="dxa"/>
        <w:jc w:val="center"/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3"/>
        <w:gridCol w:w="1208"/>
        <w:gridCol w:w="1566"/>
        <w:gridCol w:w="9626"/>
      </w:tblGrid>
      <w:tr w:rsidR="003F039A">
        <w:trPr>
          <w:trHeight w:val="600"/>
          <w:tblHeader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b/>
                <w:bCs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b/>
                <w:bCs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b/>
                <w:bCs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280" w:lineRule="exact"/>
              <w:jc w:val="center"/>
              <w:textAlignment w:val="center"/>
              <w:rPr>
                <w:rFonts w:ascii="Nimbus Roman" w:eastAsia="宋体" w:hAnsi="Nimbus Roman" w:cs="Nimbus Roman"/>
                <w:b/>
                <w:bCs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b/>
                <w:bCs/>
                <w:color w:val="000000"/>
                <w:kern w:val="0"/>
                <w:szCs w:val="21"/>
                <w:lang w:bidi="ar"/>
              </w:rPr>
              <w:t>案例名称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280" w:lineRule="exact"/>
              <w:jc w:val="center"/>
              <w:textAlignment w:val="center"/>
              <w:rPr>
                <w:rFonts w:ascii="Nimbus Roman" w:eastAsia="宋体" w:hAnsi="Nimbus Roman" w:cs="Nimbus Roman"/>
                <w:b/>
                <w:bCs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b/>
                <w:bCs/>
                <w:color w:val="000000"/>
                <w:kern w:val="0"/>
                <w:szCs w:val="21"/>
                <w:lang w:bidi="ar"/>
              </w:rPr>
              <w:t>案例简介</w:t>
            </w:r>
          </w:p>
        </w:tc>
      </w:tr>
      <w:tr w:rsidR="003F039A">
        <w:trPr>
          <w:trHeight w:val="9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中建科技河南有限公司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28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多源协同施工能耗智联管理平台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28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该技术是以云端平台为载体，通过高频采集和低延时传输，结合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AI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能效分析与动态碳排放计算，实现能耗实时监测，异常快速预警节能优化调控和碳足迹精准管理。通过实时监测与数据分析，实现能源使用的精细化和透明化管理，为工厂精准的成本核算和能效对标提供了依据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；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驱动了工厂持续节能优化，避免待机能耗、空转等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隐性浪费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，为管理决策提供数据支撑，推动整个运维体系从被动响应转向主动优化的智能化新模式。</w:t>
            </w:r>
          </w:p>
        </w:tc>
      </w:tr>
      <w:tr w:rsidR="003F039A">
        <w:trPr>
          <w:trHeight w:val="9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国机中兴工程咨询有限公司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中兴数智云全过程工程咨询数智化服务产业链共享云平台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通过持续打造行业监管、企业运营、项目管理、工程咨询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AI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智能体、智慧工地、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BIM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可视化管理等核心模块，显著提升项目管理的效率与管控能力，为企业和项目赋能增效。平台以价值创造为驱动力，致力于打造业内领先的集工程咨询、数智化服务与产业链共享于一体的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SaaS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平台，截至目前，已取得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项软件著作权，在百余个工程项目中成功落地应用并持续迭代。</w:t>
            </w:r>
          </w:p>
        </w:tc>
      </w:tr>
      <w:tr w:rsidR="003F039A">
        <w:trPr>
          <w:trHeight w:val="1125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bookmarkStart w:id="1" w:name="_Hlk173399022"/>
            <w:r>
              <w:rPr>
                <w:rFonts w:ascii="Nimbus Roman" w:eastAsia="宋体" w:hAnsi="Nimbus Roman" w:cs="Nimbus Roman"/>
                <w:color w:val="000000"/>
                <w:szCs w:val="21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中国水利水电第十一工程局有限公司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26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物资设备数智化平台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26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在传统施工企业管理平台基础上智能升级，深度融合智能地磅、车载物联网及材料移动收发平台，覆盖计划、采购、发货、无人值守称重、移动收发全流程；动态监控设备工况，打通物料消耗全链条数据流、消除信息孤岛，实现全程可视化、操作无纸化、流程自动化、决策数据化；变革传统人工依赖、流程割裂的管理模式，构建集智能称重、在途监控、移动端作业于一体的智慧协同管理平台。</w:t>
            </w:r>
          </w:p>
        </w:tc>
      </w:tr>
      <w:bookmarkEnd w:id="1"/>
      <w:tr w:rsidR="003F039A">
        <w:trPr>
          <w:trHeight w:val="178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机械工业第六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设计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研究院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AI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灵感创作平台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面向建筑方案设计全流程，融合多模态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AI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引擎，通过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LoRA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微调与场景化训练实现模型专业化适配，以工作流与零代码封装降低使用门槛，支持手绘线稿、三维模型及二维图纸等多源数据导入，无缝融入现有设计环节，支撑高效创作与灵感激发。有效解决设计效率低、成本高及创意局限等问题，实现方案生成效率提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40%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，效果图制作成本降低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60%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，方案多样性提升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300%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。已在工业建筑、园区规划等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200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余个项目中验证成效，荣获多项行业奖项。</w:t>
            </w:r>
          </w:p>
        </w:tc>
      </w:tr>
      <w:tr w:rsidR="003F039A">
        <w:trPr>
          <w:trHeight w:val="178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机械工业第六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设计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研究院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全过程工程咨询管理平台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融合云计算、物联网、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AI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及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BIM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等关键技术，打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造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“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技术咨询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+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软件平台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+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项目协作实施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”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一体化服务模式。基于开放架构、预设模板及知识驱动机制，实现项目投资、进度、质量、安全等精细化、可视化管理，解决多方协作不畅、成本控制困难及知识沉淀不足等痛点，支撑工程项目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“1+N”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分级管理。该平台已在道路桥梁、工业园区、公用建筑等重大项目中应用，显著提升管理效率及协作水平，取得可观经济效益和社会效益。</w:t>
            </w:r>
          </w:p>
        </w:tc>
      </w:tr>
      <w:tr w:rsidR="003F039A">
        <w:trPr>
          <w:trHeight w:val="118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中国五冶集团有限公司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基于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BIM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的装配式模块化建筑智能设计系统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系统包括项目管理功能管理、模块设计功能管理、施工模拟功能管理等多种功能。通过运用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BIM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技术和智能算法，结合数据可视化、能效分析与冲突检测，提供高度集成的设计、管理与优化功能，支持高效项目规划、实时监控及绿色建筑目标实现，提升设计质量与施工效率。</w:t>
            </w:r>
          </w:p>
        </w:tc>
      </w:tr>
      <w:tr w:rsidR="003F039A">
        <w:trPr>
          <w:trHeight w:val="1411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中铁七局集团有限公司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智慧梁场全流程数字化管控施工技术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该技术以工业互联网为核心，构建数据驱动、智能协同的预制梁生产体系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集成计划管理、生产监测、设备运维等六大系统。通过智能排产与数字孪生实现资源优化，并利用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AI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视觉识别与传感器网络对关键工序进行精准管控。应用后，单梁生产周期缩短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32%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，成本节约超千万元，质量缺陷率降低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35%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，安全预警响应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时间缩短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，有效推动了施工智能化转型。</w:t>
            </w:r>
          </w:p>
        </w:tc>
      </w:tr>
      <w:tr w:rsidR="003F039A">
        <w:trPr>
          <w:trHeight w:val="1306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万华生态新家装（信阳）有限公司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新家装智慧工厂管理系统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主要针对建筑部品生产企业，尤其是定制家居以及装配式内装、部品生产企业开发的专用软件产品。核心功能包括生产、仓配、智能三大领域，包含建单、审单、拆单、智能排程等关键功能，在板材加工中可实现个性化和批量化的有机结合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生产效率提升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25%—35%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，智能化设备可解决技工流失快的难题，产品质量误差率控制在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2%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以内，大大降低返修率、报废率，大幅缩短产品开发和交货周期，可获得显著的技术经济效益，提高企业产能和经营能力。</w:t>
            </w:r>
          </w:p>
        </w:tc>
      </w:tr>
      <w:tr w:rsidR="003F039A">
        <w:trPr>
          <w:trHeight w:val="1049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河南省第一建筑工程集团有限责任公司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PC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构件智能生产线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实现预制混凝土构件钢筋下料、钢筋加工、构件浇筑、养护全流程自动化生产，研发环形流水生产线，通过模台全自动流转与蒸汽养护一体化控制，实现构件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“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清理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－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浇筑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－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养护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－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脱模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”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闭环生产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提高了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PC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构件生产效率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质量精度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解决了传统方式构件生产效率低下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工序协调性差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生产周期长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质量管控难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损耗率高等难题。</w:t>
            </w:r>
          </w:p>
        </w:tc>
      </w:tr>
      <w:tr w:rsidR="003F039A">
        <w:trPr>
          <w:trHeight w:val="144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lastRenderedPageBreak/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河南六建建筑集团有限公司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基于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Tekla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的钢筋翻样系统</w:t>
            </w:r>
          </w:p>
        </w:tc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依托商业软件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 xml:space="preserve">Tekla 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Structures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进行自研框架结构剪力墙结构、工业建筑等钢筋翻样系统，内部算法依托规范和标准图集，输入结构信息参数即可对柱、墙梁、板进行快速配筋。能够将二维设计图纸转化为三维可视化模型，实现钢筋的精准排布，通过智能算法实现钢筋的精准断料与弯曲。后续支持与数控加工设备对接，实现从模型到生产的无缝衔接，进而实现钢筋的精细化管理。</w:t>
            </w:r>
          </w:p>
        </w:tc>
      </w:tr>
      <w:tr w:rsidR="003F039A">
        <w:trPr>
          <w:trHeight w:val="148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三门峡兴隆混凝土有限公司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绿色建材外墙条板</w:t>
            </w:r>
          </w:p>
        </w:tc>
        <w:tc>
          <w:tcPr>
            <w:tcW w:w="9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tabs>
                <w:tab w:val="left" w:pos="1794"/>
              </w:tabs>
              <w:jc w:val="left"/>
              <w:rPr>
                <w:rFonts w:ascii="Nimbus Roman" w:hAnsi="Nimbus Roman" w:cs="Nimbus Roman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是一种超低能耗建筑产品，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多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用于外墙保温围护部位。可免除内外墙面抹灰、贴网格布、外挂保温板等工序，内置保温材料与建筑主体同等寿命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且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永久不脱落，防火性达到最高级别一级。此产品能缩短工期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60%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左右，节约人工成本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55%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左右。</w:t>
            </w:r>
          </w:p>
        </w:tc>
      </w:tr>
      <w:tr w:rsidR="003F039A">
        <w:trPr>
          <w:trHeight w:val="114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郑州宝冶钢结构有限公司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智能化生产线</w:t>
            </w:r>
          </w:p>
        </w:tc>
        <w:tc>
          <w:tcPr>
            <w:tcW w:w="9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深度融合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 xml:space="preserve"> A1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机器学习、计算机视觉等技术与钢结构智能制造打造数据驱动的智能制造体系。其通过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 xml:space="preserve"> AI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实现零件智能排版优化与路径规划以降损耗，依托视觉识别与机器人完成高效分拣，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借助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智能装焊系统动态调参提升焊接质量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；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同时基于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BIM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数据实现构件全流程跟踪，依托物联网搭建人机物联网络，实现任务远程下发与进度实时管控。智能化产线落地后，用工从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80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人减至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16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人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（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降幅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80%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）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，生产效率提升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30%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、成本降低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 xml:space="preserve"> 20%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、产能提高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 xml:space="preserve"> 50%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，实现了智能制造升级成效。</w:t>
            </w:r>
          </w:p>
        </w:tc>
      </w:tr>
      <w:tr w:rsidR="003F039A">
        <w:trPr>
          <w:trHeight w:val="152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郑州朗住住工科技有限公司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装配化装修瓷砖壁板智能生产线</w:t>
            </w:r>
          </w:p>
        </w:tc>
        <w:tc>
          <w:tcPr>
            <w:tcW w:w="9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通过机器人进行排砖、涂热熔胶、放钢架、表面毡裁切、发泡胶点胶、升降、翻转、码垛等工序实现装配化装修瓷砖壁板的智能生产。智能生产线通过机器人替代人工、精度控制等优势，解决了传统瓷砖壁板生产中效率低、砖缝对不齐、质量不稳定、依赖人工、安全风险高、标准化不足等关键问题，尤其适合大规模装配式装修场景，推动行业向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“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工业化、绿色化、精准化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”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发展。</w:t>
            </w:r>
          </w:p>
        </w:tc>
      </w:tr>
      <w:tr w:rsidR="003F039A">
        <w:trPr>
          <w:trHeight w:val="113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河南省第二建设集团有限公司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装配式混凝土构件智能化生产线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针对墙板构件的精益制造场景，开发了混凝土协同供应技术、基于机器视觉的混凝土精准布料技术、基于三维激光扫描的质量智能检测技术，基于产品生产设备和质量为核心的信息数据集成开发，形成了总装生产线数字管控系统。通过智能化提升手段，实现混凝土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布料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重量偏差控制在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2%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以内，产线生产节拍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提升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41%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，综合产能提高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57%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，模台利用率提高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30%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，尺寸精度合格率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100%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，经验收整体达到国内先进水平。</w:t>
            </w:r>
          </w:p>
        </w:tc>
      </w:tr>
      <w:tr w:rsidR="003F039A">
        <w:trPr>
          <w:trHeight w:val="113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lastRenderedPageBreak/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中建七局安装工程有限公司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高空螺栓自动化作业集成机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集移动升降、自动钻孔、智能上料、精准上丝功能于一体。设备搭载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PLC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智能控制系统，整合激光定位、视觉监测、气动控制技术，实现膨胀螺栓全流程一键作业。创新突破四大核心技术：自主研发电动工具自动切换平台；攻克连续供料难题；首创螺帽动态啮合装置；构建数字化作业控制体系。设备可广泛应用于机电安装、钢结构施工等领域，推动高空作业智能化、标准化转型。</w:t>
            </w:r>
          </w:p>
        </w:tc>
      </w:tr>
      <w:tr w:rsidR="003F039A">
        <w:trPr>
          <w:trHeight w:val="113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中国建筑第七工程局有限公司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空中自动化造楼机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由专用起重平台、水平和竖向构件自由吊装装置、竖向构件临时定位支架装置、竖缝模板装置、混凝土布料装置、水平和竖向构件垂直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运输平台装置以及数字化智能控制系统九大部分组成。采用模块化、轻量化设计，利用数字化、机器人、造楼机等先进技术。实现了装配式建筑主体结构的自动化施工，形成少人化、类工厂形式的施工作业环境，额定起重量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15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吨，施工效率较传统造楼机提高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15%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，减少用工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50%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以上。</w:t>
            </w:r>
          </w:p>
        </w:tc>
      </w:tr>
      <w:tr w:rsidR="003F039A">
        <w:trPr>
          <w:trHeight w:val="1134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1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中国五冶集团有限公司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全空间智能行走机器人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利用电磁吸附原理，实现机器人在水平表面、墙体竖面以及天花板表面的行走，实现全空间应用；应用感知、传感、控制等原理，能够实现机器人灵活行走，并对作业空间的实际情况进行判断，保证作业的稳定性和准确性。利用喷水系统对建筑构造表面进行喷洒作业，实现全空间、各位置构造的养护。</w:t>
            </w:r>
          </w:p>
        </w:tc>
      </w:tr>
      <w:tr w:rsidR="003F039A">
        <w:trPr>
          <w:trHeight w:val="2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中国建筑第七工程局有限公司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39A" w:rsidRDefault="00F87236">
            <w:pPr>
              <w:widowControl/>
              <w:spacing w:line="300" w:lineRule="exact"/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智能巡检安全帽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39A" w:rsidRDefault="00F87236">
            <w:pPr>
              <w:widowControl/>
              <w:spacing w:line="300" w:lineRule="exact"/>
              <w:jc w:val="left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应用场景为施工现场，针对传统安全质量管理中数据采集困难、信息传递延时、数据分散和巡检成本高的问题，创新性地融合了云计算、人工智能、物联网技术，通过安全帽实时收集现场安全、质量数据，并上传至自主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研发的云平台进行智能分析并实时通过安全帽进行预警。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提高</w:t>
            </w:r>
            <w:r>
              <w:rPr>
                <w:rFonts w:ascii="Nimbus Roman" w:eastAsia="宋体" w:hAnsi="Nimbus Roman" w:cs="Nimbus Roman"/>
                <w:color w:val="000000"/>
                <w:szCs w:val="21"/>
              </w:rPr>
              <w:t>企业安全、质量监管的时效性、准确性，实现了实时、高效、全面的穿透式管理。</w:t>
            </w:r>
          </w:p>
        </w:tc>
      </w:tr>
    </w:tbl>
    <w:p w:rsidR="003F039A" w:rsidRDefault="003F039A" w:rsidP="003F039A">
      <w:pPr>
        <w:spacing w:line="20" w:lineRule="exact"/>
        <w:ind w:right="15398" w:firstLineChars="200" w:firstLine="617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3F039A">
      <w:footerReference w:type="default" r:id="rId8"/>
      <w:pgSz w:w="16838" w:h="11906" w:orient="landscape"/>
      <w:pgMar w:top="1417" w:right="1417" w:bottom="1417" w:left="1417" w:header="851" w:footer="1134" w:gutter="0"/>
      <w:cols w:space="0"/>
      <w:docGrid w:type="linesAndChars" w:linePitch="292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36" w:rsidRDefault="00F87236">
      <w:r>
        <w:separator/>
      </w:r>
    </w:p>
  </w:endnote>
  <w:endnote w:type="continuationSeparator" w:id="0">
    <w:p w:rsidR="00F87236" w:rsidRDefault="00F8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">
    <w:altName w:val="Batang"/>
    <w:charset w:val="00"/>
    <w:family w:val="auto"/>
    <w:pitch w:val="default"/>
    <w:sig w:usb0="00000001" w:usb1="00000800" w:usb2="00000000" w:usb3="00000000" w:csb0="6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86F61AD-4087-400D-9D25-AB351952E69E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E54E594-BF76-47B6-B305-459EF260998C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39A" w:rsidRDefault="00F872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8C9DA" wp14:editId="49E4631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39A" w:rsidRDefault="00F87236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6E1B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F039A" w:rsidRDefault="00F87236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1C6E1B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36" w:rsidRDefault="00F87236">
      <w:r>
        <w:separator/>
      </w:r>
    </w:p>
  </w:footnote>
  <w:footnote w:type="continuationSeparator" w:id="0">
    <w:p w:rsidR="00F87236" w:rsidRDefault="00F8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embedTrueTypeFonts/>
  <w:saveSubsetFonts/>
  <w:defaultTabStop w:val="420"/>
  <w:drawingGridHorizontalSpacing w:val="99"/>
  <w:drawingGridVerticalSpacing w:val="1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YmIzZTY0YmY2OTNjZDhmNDQzZjgyNjUzMDJlYmUifQ=="/>
  </w:docVars>
  <w:rsids>
    <w:rsidRoot w:val="001B4421"/>
    <w:rsid w:val="AFFF9C36"/>
    <w:rsid w:val="B36BC3DA"/>
    <w:rsid w:val="BF5F2F67"/>
    <w:rsid w:val="BF9EBC49"/>
    <w:rsid w:val="BFF74631"/>
    <w:rsid w:val="BFFF3DD5"/>
    <w:rsid w:val="CEEF4A9D"/>
    <w:rsid w:val="CF69EDC2"/>
    <w:rsid w:val="D78B5949"/>
    <w:rsid w:val="D7A7E531"/>
    <w:rsid w:val="DECF7265"/>
    <w:rsid w:val="DEF7444D"/>
    <w:rsid w:val="E4FED5B4"/>
    <w:rsid w:val="E5FA8936"/>
    <w:rsid w:val="E76E71A8"/>
    <w:rsid w:val="E7AB2C13"/>
    <w:rsid w:val="EAFFC982"/>
    <w:rsid w:val="EB6A0576"/>
    <w:rsid w:val="ED7F1981"/>
    <w:rsid w:val="EF379756"/>
    <w:rsid w:val="EFDE5A17"/>
    <w:rsid w:val="EFF549BD"/>
    <w:rsid w:val="F1FF6BDE"/>
    <w:rsid w:val="F3DD3C80"/>
    <w:rsid w:val="F3FDDAD6"/>
    <w:rsid w:val="F7566B65"/>
    <w:rsid w:val="FA7F2801"/>
    <w:rsid w:val="FB5387FB"/>
    <w:rsid w:val="FBF7868E"/>
    <w:rsid w:val="FDFB4F33"/>
    <w:rsid w:val="FDFFEC50"/>
    <w:rsid w:val="FF75A6DA"/>
    <w:rsid w:val="FFDB74DE"/>
    <w:rsid w:val="00013382"/>
    <w:rsid w:val="000278AE"/>
    <w:rsid w:val="00082693"/>
    <w:rsid w:val="000A1B99"/>
    <w:rsid w:val="000D3D7F"/>
    <w:rsid w:val="000D5073"/>
    <w:rsid w:val="001708CD"/>
    <w:rsid w:val="00190088"/>
    <w:rsid w:val="001B4421"/>
    <w:rsid w:val="001C60DE"/>
    <w:rsid w:val="001C6E1B"/>
    <w:rsid w:val="00212A14"/>
    <w:rsid w:val="003A2C20"/>
    <w:rsid w:val="003D1FC3"/>
    <w:rsid w:val="003F039A"/>
    <w:rsid w:val="00452B71"/>
    <w:rsid w:val="0045458B"/>
    <w:rsid w:val="004714FE"/>
    <w:rsid w:val="004C07F8"/>
    <w:rsid w:val="006248B8"/>
    <w:rsid w:val="0065312A"/>
    <w:rsid w:val="00764EDA"/>
    <w:rsid w:val="00773672"/>
    <w:rsid w:val="007C5421"/>
    <w:rsid w:val="008700EA"/>
    <w:rsid w:val="008C6BD5"/>
    <w:rsid w:val="00901A09"/>
    <w:rsid w:val="00993D1B"/>
    <w:rsid w:val="009F4F55"/>
    <w:rsid w:val="00A852F9"/>
    <w:rsid w:val="00B75881"/>
    <w:rsid w:val="00B82394"/>
    <w:rsid w:val="00B82C8B"/>
    <w:rsid w:val="00CC566A"/>
    <w:rsid w:val="00CF1929"/>
    <w:rsid w:val="00CF55B9"/>
    <w:rsid w:val="00D51B57"/>
    <w:rsid w:val="00D81230"/>
    <w:rsid w:val="00DE01B6"/>
    <w:rsid w:val="00DE3EC0"/>
    <w:rsid w:val="00E131AD"/>
    <w:rsid w:val="00E40E4E"/>
    <w:rsid w:val="00E876B8"/>
    <w:rsid w:val="00EC5A7F"/>
    <w:rsid w:val="00EF1E0C"/>
    <w:rsid w:val="00EF695E"/>
    <w:rsid w:val="00F32BD8"/>
    <w:rsid w:val="00F348F5"/>
    <w:rsid w:val="00F87236"/>
    <w:rsid w:val="00FC11E8"/>
    <w:rsid w:val="0DFF5748"/>
    <w:rsid w:val="103774BD"/>
    <w:rsid w:val="12D43A61"/>
    <w:rsid w:val="13BD2572"/>
    <w:rsid w:val="18082D57"/>
    <w:rsid w:val="1A7E92D7"/>
    <w:rsid w:val="2ABB0720"/>
    <w:rsid w:val="2DE33D57"/>
    <w:rsid w:val="2F754579"/>
    <w:rsid w:val="2FDD15E8"/>
    <w:rsid w:val="2FF751D4"/>
    <w:rsid w:val="3A164C84"/>
    <w:rsid w:val="3ED1AC34"/>
    <w:rsid w:val="3FB3F494"/>
    <w:rsid w:val="3FBB64A4"/>
    <w:rsid w:val="3FDDF566"/>
    <w:rsid w:val="3FF50EC4"/>
    <w:rsid w:val="3FFFC1BA"/>
    <w:rsid w:val="471B7C1B"/>
    <w:rsid w:val="4AFF4AA9"/>
    <w:rsid w:val="4BFF4EA1"/>
    <w:rsid w:val="4FFF5A83"/>
    <w:rsid w:val="51345A4A"/>
    <w:rsid w:val="57F6C35D"/>
    <w:rsid w:val="59BFD211"/>
    <w:rsid w:val="59EF7B67"/>
    <w:rsid w:val="5B7F2594"/>
    <w:rsid w:val="5C084A9C"/>
    <w:rsid w:val="630F004A"/>
    <w:rsid w:val="657737D2"/>
    <w:rsid w:val="6582360D"/>
    <w:rsid w:val="698F9872"/>
    <w:rsid w:val="6B6E6C9F"/>
    <w:rsid w:val="6BBF1DE7"/>
    <w:rsid w:val="6D192074"/>
    <w:rsid w:val="6FAC9DCD"/>
    <w:rsid w:val="6FB8B855"/>
    <w:rsid w:val="6FDB59F0"/>
    <w:rsid w:val="736CD492"/>
    <w:rsid w:val="74F5108D"/>
    <w:rsid w:val="754FD849"/>
    <w:rsid w:val="75506CD6"/>
    <w:rsid w:val="77DB2EB5"/>
    <w:rsid w:val="77F75D9A"/>
    <w:rsid w:val="79A33E26"/>
    <w:rsid w:val="7AF796CE"/>
    <w:rsid w:val="7B677B78"/>
    <w:rsid w:val="7BEC44F0"/>
    <w:rsid w:val="7BF7018E"/>
    <w:rsid w:val="7DAFAEC7"/>
    <w:rsid w:val="7E7F5552"/>
    <w:rsid w:val="7EA8F373"/>
    <w:rsid w:val="7EBD8E76"/>
    <w:rsid w:val="7ED5B026"/>
    <w:rsid w:val="7F3D3965"/>
    <w:rsid w:val="7F3FF9C9"/>
    <w:rsid w:val="7F535E40"/>
    <w:rsid w:val="7F667012"/>
    <w:rsid w:val="7FDF94AB"/>
    <w:rsid w:val="7FDFC3FF"/>
    <w:rsid w:val="7FF7761F"/>
    <w:rsid w:val="7FFCE3FB"/>
    <w:rsid w:val="7FFD441F"/>
    <w:rsid w:val="8C3FC184"/>
    <w:rsid w:val="8FBB8A8D"/>
    <w:rsid w:val="9FFFA971"/>
    <w:rsid w:val="AC7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Cambria" w:eastAsia="宋体" w:hAnsi="Cambria" w:cs="Times New Roman"/>
      <w:color w:val="3660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Cambria" w:eastAsia="宋体" w:hAnsi="Cambria" w:cs="Times New Roman"/>
      <w:color w:val="3660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硕 张</dc:creator>
  <cp:lastModifiedBy>yan</cp:lastModifiedBy>
  <cp:revision>2</cp:revision>
  <cp:lastPrinted>2024-08-03T03:22:00Z</cp:lastPrinted>
  <dcterms:created xsi:type="dcterms:W3CDTF">2025-12-24T07:27:00Z</dcterms:created>
  <dcterms:modified xsi:type="dcterms:W3CDTF">2025-12-24T07:27:00Z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187568F77276483DA216EDD171359BB0_13</vt:lpwstr>
  </property>
  <property fmtid="{D5CDD505-2E9C-101B-9397-08002B2CF9AE}" pid="4" name="KSOTemplateDocerSaveRecord">
    <vt:lpwstr>eyJoZGlkIjoiOTc3M2Y5NzIzMDFlZjAyY2Q4Njk5ODkyYjFjNzBiNTQiLCJ1c2VySWQiOiIxMjQzNDE5MzA5In0=</vt:lpwstr>
  </property>
</Properties>
</file>